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2E58">
      <w:pPr>
        <w:pStyle w:val="a3"/>
        <w:divId w:val="491797289"/>
      </w:pPr>
      <w:r>
        <w:t>Действующая редакция</w:t>
      </w:r>
    </w:p>
    <w:p w:rsidR="00000000" w:rsidRDefault="00482E58">
      <w:pPr>
        <w:divId w:val="222640716"/>
        <w:rPr>
          <w:rFonts w:eastAsia="Times New Roman"/>
        </w:rPr>
      </w:pPr>
      <w:r>
        <w:rPr>
          <w:rFonts w:eastAsia="Times New Roman"/>
        </w:rPr>
        <w:t>ЗАКОН ЧЕЛЯБИНСКОЙ ОБЛАСТИ от 18.12.2014 № 89-ЗО</w:t>
      </w:r>
    </w:p>
    <w:p w:rsidR="00000000" w:rsidRDefault="00482E58">
      <w:pPr>
        <w:pStyle w:val="1"/>
        <w:divId w:val="49179728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</w:t>
      </w:r>
      <w:r>
        <w:rPr>
          <w:rFonts w:eastAsia="Times New Roman"/>
          <w:color w:val="000000"/>
        </w:rPr>
        <w:t>ского типа) Челябинской области</w:t>
      </w:r>
    </w:p>
    <w:p w:rsidR="00000000" w:rsidRDefault="00482E58">
      <w:pPr>
        <w:pStyle w:val="3"/>
        <w:jc w:val="center"/>
        <w:divId w:val="29041180"/>
        <w:rPr>
          <w:rFonts w:eastAsia="Times New Roman"/>
        </w:rPr>
      </w:pPr>
      <w:r>
        <w:rPr>
          <w:rFonts w:eastAsia="Times New Roman"/>
        </w:rPr>
        <w:t>ЗАКОНОДАТЕЛЬНОЕ СОБРАНИЕ ЧЕЛЯБИНСКОЙ ОБЛАСТИ</w:t>
      </w:r>
    </w:p>
    <w:p w:rsidR="00000000" w:rsidRDefault="00482E58">
      <w:pPr>
        <w:pStyle w:val="3"/>
        <w:jc w:val="center"/>
        <w:divId w:val="29041180"/>
        <w:rPr>
          <w:rFonts w:eastAsia="Times New Roman"/>
        </w:rPr>
      </w:pPr>
      <w:r>
        <w:rPr>
          <w:rFonts w:eastAsia="Times New Roman"/>
        </w:rPr>
        <w:t>ЗАКОН ЧЕЛЯБИНСКОЙ ОБЛАСТИ</w:t>
      </w:r>
    </w:p>
    <w:p w:rsidR="00000000" w:rsidRDefault="00482E58">
      <w:pPr>
        <w:pStyle w:val="3"/>
        <w:jc w:val="center"/>
        <w:divId w:val="29041180"/>
        <w:rPr>
          <w:rFonts w:eastAsia="Times New Roman"/>
        </w:rPr>
      </w:pPr>
      <w:r>
        <w:rPr>
          <w:rFonts w:eastAsia="Times New Roman"/>
        </w:rPr>
        <w:t>от 18 декабря 2014 года № 89-ЗО</w:t>
      </w:r>
    </w:p>
    <w:p w:rsidR="00000000" w:rsidRDefault="00482E58">
      <w:pPr>
        <w:pStyle w:val="3"/>
        <w:jc w:val="center"/>
        <w:divId w:val="29041180"/>
        <w:rPr>
          <w:rFonts w:eastAsia="Times New Roman"/>
        </w:rPr>
      </w:pPr>
      <w:r>
        <w:rPr>
          <w:rFonts w:eastAsia="Times New Roman"/>
        </w:rPr>
        <w:t>О возмещении расходов на оплату жилых помещений, отопления и освещения педагогическим работникам областных государственны</w:t>
      </w:r>
      <w:r>
        <w:rPr>
          <w:rFonts w:eastAsia="Times New Roman"/>
        </w:rPr>
        <w:t>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</w:t>
      </w:r>
    </w:p>
    <w:p w:rsidR="00000000" w:rsidRDefault="00482E58">
      <w:pPr>
        <w:pStyle w:val="a3"/>
        <w:jc w:val="right"/>
        <w:divId w:val="29041180"/>
      </w:pPr>
      <w:r>
        <w:t>Принят</w:t>
      </w:r>
      <w:r>
        <w:br/>
      </w:r>
      <w:r>
        <w:t>постановлением</w:t>
      </w:r>
      <w:r>
        <w:br/>
      </w:r>
      <w:r>
        <w:t>Законодательного Собрания</w:t>
      </w:r>
      <w:r>
        <w:br/>
      </w:r>
      <w:r>
        <w:t>Челябинской области</w:t>
      </w:r>
      <w:r>
        <w:br/>
      </w:r>
      <w:r>
        <w:t>от 18.12.2014 г. № 24</w:t>
      </w:r>
      <w:r>
        <w:t>0</w:t>
      </w:r>
      <w:r>
        <w:t>0</w:t>
      </w:r>
    </w:p>
    <w:p w:rsidR="00000000" w:rsidRDefault="00482E58">
      <w:pPr>
        <w:pStyle w:val="a3"/>
        <w:divId w:val="29041180"/>
      </w:pPr>
      <w:r>
        <w:rPr>
          <w:b/>
          <w:bCs/>
        </w:rPr>
        <w:t>    Статья 1. Предмет регулирования настоящего Закон</w:t>
      </w:r>
      <w:r>
        <w:rPr>
          <w:b/>
          <w:bCs/>
        </w:rPr>
        <w:t>а</w:t>
      </w:r>
    </w:p>
    <w:p w:rsidR="00000000" w:rsidRDefault="00482E58">
      <w:pPr>
        <w:pStyle w:val="a3"/>
        <w:divId w:val="29041180"/>
      </w:pPr>
      <w:r>
        <w:t>    1. Настоящий Закон устанавливает размер, условия и порядок возмещения расходов, связанных с предоставлением мер социальной поддержки по оплате жилых помещений, отопления и освещения педагогически</w:t>
      </w:r>
      <w:r>
        <w:t>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 (далее – педагогические работники), в том числе выше</w:t>
      </w:r>
      <w:r>
        <w:t xml:space="preserve">дшим на пенсию и проживающим в сельских населенных пунктах, рабочих поселках (поселках городского типа) Челябинской </w:t>
      </w:r>
      <w:r>
        <w:lastRenderedPageBreak/>
        <w:t>области, имеющим стаж работы в соответствующих организациях, расположенных в сельских населенных пунктах, рабочих поселках (поселках городск</w:t>
      </w:r>
      <w:r>
        <w:t>ого типа) Челябинской области, не менее 10 лет (далее – педагогические работники, перешедшие на пенсию)</w:t>
      </w:r>
      <w:r>
        <w:t>.</w:t>
      </w:r>
    </w:p>
    <w:p w:rsidR="00000000" w:rsidRDefault="00482E58">
      <w:pPr>
        <w:pStyle w:val="a3"/>
        <w:divId w:val="29041180"/>
      </w:pPr>
      <w:r>
        <w:t>    2. Возмещение расходов на оплату жилых помещений, отопления и освещения педагогическим работникам и педагогическим работникам, перешедшим на пенсию</w:t>
      </w:r>
      <w:r>
        <w:t>, осуществляется в форме компенсации расходов на оплату жилых помещений, отопления и освещения (далее – компенсация расходов)</w:t>
      </w:r>
      <w:r>
        <w:t>.</w:t>
      </w:r>
    </w:p>
    <w:p w:rsidR="00000000" w:rsidRDefault="00482E58">
      <w:pPr>
        <w:pStyle w:val="a3"/>
        <w:divId w:val="29041180"/>
      </w:pPr>
      <w:r>
        <w:rPr>
          <w:b/>
          <w:bCs/>
        </w:rPr>
        <w:t>    Статья 2. Размер предоставления компенсации расходо</w:t>
      </w:r>
      <w:r>
        <w:rPr>
          <w:b/>
          <w:bCs/>
        </w:rPr>
        <w:t>в</w:t>
      </w:r>
    </w:p>
    <w:p w:rsidR="00000000" w:rsidRDefault="00482E58">
      <w:pPr>
        <w:pStyle w:val="a3"/>
        <w:divId w:val="29041180"/>
      </w:pPr>
      <w:r>
        <w:t>    1. Педагогическим работникам и педагогическим работникам, перешедшим</w:t>
      </w:r>
      <w:r>
        <w:t xml:space="preserve"> на пенсию, компенсация расходов осуществляется в размере 100 процентов оплаты жилых помещений, отопления и освещения</w:t>
      </w:r>
      <w:r>
        <w:t>.</w:t>
      </w:r>
    </w:p>
    <w:p w:rsidR="00000000" w:rsidRDefault="00482E58">
      <w:pPr>
        <w:pStyle w:val="a3"/>
        <w:divId w:val="29041180"/>
      </w:pPr>
      <w:r>
        <w:t>    2. Педагогическим работникам и педагогическим работникам, перешедшим на пенсию, проживающим в жилых помещениях с печным отоплением, п</w:t>
      </w:r>
      <w:r>
        <w:t>о их заявлению предоставляется компенсация расходов в размере 100 процентов оплаты твердого топлива с учетом его доставки</w:t>
      </w:r>
      <w:r>
        <w:t>.</w:t>
      </w:r>
    </w:p>
    <w:p w:rsidR="00000000" w:rsidRDefault="00482E58">
      <w:pPr>
        <w:pStyle w:val="a3"/>
        <w:divId w:val="29041180"/>
      </w:pPr>
      <w:r>
        <w:rPr>
          <w:b/>
          <w:bCs/>
        </w:rPr>
        <w:t>    Статья 3. Порядок и условия предоставления компенсации расходо</w:t>
      </w:r>
      <w:r>
        <w:rPr>
          <w:b/>
          <w:bCs/>
        </w:rPr>
        <w:t>в</w:t>
      </w:r>
    </w:p>
    <w:p w:rsidR="00000000" w:rsidRDefault="00482E58">
      <w:pPr>
        <w:pStyle w:val="a3"/>
        <w:divId w:val="29041180"/>
      </w:pPr>
      <w:r>
        <w:t>    1. Компенсация расходов предоставляется</w:t>
      </w:r>
      <w:r>
        <w:t>:</w:t>
      </w:r>
    </w:p>
    <w:p w:rsidR="00000000" w:rsidRDefault="00482E58">
      <w:pPr>
        <w:pStyle w:val="a3"/>
        <w:divId w:val="29041180"/>
      </w:pPr>
      <w:r>
        <w:t>    1) органами испо</w:t>
      </w:r>
      <w:r>
        <w:t>лнительной власти Челябинской области и органами местного самоуправления муниципальных образований Челябинской области, которым подведомственны образовательные организации, по месту работы педагогического работника на основании предоставляемых им документо</w:t>
      </w:r>
      <w:r>
        <w:t>в, подтверждающих фактическую оплату за жилые помещения, отопление и освещение, а также расходы на приобретение твердого топлива с учетом его доставки, с приложением справки предприятия технической инвентаризации либо органа местного самоуправления о разме</w:t>
      </w:r>
      <w:r>
        <w:t>ре отапливаемой площади жилого помещения</w:t>
      </w:r>
      <w:r>
        <w:t>;</w:t>
      </w:r>
    </w:p>
    <w:p w:rsidR="00000000" w:rsidRDefault="00482E58">
      <w:pPr>
        <w:pStyle w:val="a3"/>
        <w:divId w:val="29041180"/>
      </w:pPr>
      <w:r>
        <w:t>    2) органами социальной защиты населения городских округов и муниципальных районов Челябинской области по месту жительства либо по месту пребывания педагогических работников, перешедших на пенсию</w:t>
      </w:r>
      <w:r>
        <w:t>.</w:t>
      </w:r>
    </w:p>
    <w:p w:rsidR="00000000" w:rsidRDefault="00482E58">
      <w:pPr>
        <w:pStyle w:val="a3"/>
        <w:divId w:val="29041180"/>
      </w:pPr>
      <w:r>
        <w:t xml:space="preserve">    2. Расчет </w:t>
      </w:r>
      <w:r>
        <w:t>размера компенсации расходов педагогическим работникам, перешедшим на пенсию, осуществляется организациями, а также индивидуальными предпринимателями, осуществляющими расчет размера платы за жилые помещения, отопление и освещение на основании договоров, за</w:t>
      </w:r>
      <w:r>
        <w:t>ключаемых между указанными организациями, индивидуальными предпринимателями и органами социальной защиты населения городских округов и муниципальных районов, сроком на один финансовый год</w:t>
      </w:r>
      <w:r>
        <w:t>.</w:t>
      </w:r>
    </w:p>
    <w:p w:rsidR="00000000" w:rsidRDefault="00482E58">
      <w:pPr>
        <w:pStyle w:val="a3"/>
        <w:divId w:val="29041180"/>
      </w:pPr>
      <w:r>
        <w:t xml:space="preserve">    Расчет размера компенсации расходов педагогическим работникам, </w:t>
      </w:r>
      <w:r>
        <w:t>перешедшим на пенсию, осуществляется органами местного самоуправления городских округов и муниципальных районов Челябинской области на основании и при наличии сведений о размере фактических начислений на оплату жилых помещений, отопления и освещения</w:t>
      </w:r>
      <w:r>
        <w:t>.</w:t>
      </w:r>
    </w:p>
    <w:p w:rsidR="00000000" w:rsidRDefault="00482E58">
      <w:pPr>
        <w:pStyle w:val="a3"/>
        <w:divId w:val="29041180"/>
      </w:pPr>
      <w:r>
        <w:t>    3</w:t>
      </w:r>
      <w:r>
        <w:t xml:space="preserve">. При наличии у педагогического работника и педагогического работника, перешедшего на пенсию, права на получение компенсации расходов по нескольким </w:t>
      </w:r>
      <w:r>
        <w:lastRenderedPageBreak/>
        <w:t>основаниям компенсация расходов осуществляется по одному из оснований по выбору гражданина</w:t>
      </w:r>
      <w:r>
        <w:t>.</w:t>
      </w:r>
    </w:p>
    <w:p w:rsidR="00000000" w:rsidRDefault="00482E58">
      <w:pPr>
        <w:pStyle w:val="a3"/>
        <w:divId w:val="29041180"/>
      </w:pPr>
      <w:r>
        <w:t>    4. Порядок п</w:t>
      </w:r>
      <w:r>
        <w:t>редоставления компенсации расходов устанавливается Правительством Челябинской области</w:t>
      </w:r>
      <w:r>
        <w:t>.</w:t>
      </w:r>
    </w:p>
    <w:p w:rsidR="00000000" w:rsidRDefault="00482E58">
      <w:pPr>
        <w:pStyle w:val="a3"/>
        <w:divId w:val="29041180"/>
      </w:pPr>
      <w:r>
        <w:rPr>
          <w:b/>
          <w:bCs/>
        </w:rPr>
        <w:t>    Статья 4. Порядок финансирования компенсации расходо</w:t>
      </w:r>
      <w:r>
        <w:rPr>
          <w:b/>
          <w:bCs/>
        </w:rPr>
        <w:t>в</w:t>
      </w:r>
    </w:p>
    <w:p w:rsidR="00000000" w:rsidRDefault="00482E58">
      <w:pPr>
        <w:pStyle w:val="a3"/>
        <w:divId w:val="29041180"/>
      </w:pPr>
      <w:r>
        <w:t xml:space="preserve">    Порядок финансирования компенсации расходов за счет средств областного бюджета определяется Правительством </w:t>
      </w:r>
      <w:r>
        <w:t>Челябинской области</w:t>
      </w:r>
      <w:r>
        <w:t>.</w:t>
      </w:r>
    </w:p>
    <w:p w:rsidR="00000000" w:rsidRDefault="00482E58">
      <w:pPr>
        <w:pStyle w:val="a3"/>
        <w:divId w:val="29041180"/>
      </w:pPr>
      <w:r>
        <w:rPr>
          <w:b/>
          <w:bCs/>
        </w:rPr>
        <w:t>    Статья 5. Порядок вступления в силу настоящего Закон</w:t>
      </w:r>
      <w:r>
        <w:rPr>
          <w:b/>
          <w:bCs/>
        </w:rPr>
        <w:t>а</w:t>
      </w:r>
    </w:p>
    <w:p w:rsidR="00000000" w:rsidRDefault="00482E58">
      <w:pPr>
        <w:pStyle w:val="a3"/>
        <w:divId w:val="29041180"/>
      </w:pPr>
      <w:r>
        <w:t>    1. Настоящий Закон вступает в силу с 1 января 2015 года</w:t>
      </w:r>
      <w:r>
        <w:t>.</w:t>
      </w:r>
    </w:p>
    <w:p w:rsidR="00000000" w:rsidRDefault="00482E58">
      <w:pPr>
        <w:pStyle w:val="a3"/>
        <w:divId w:val="29041180"/>
      </w:pPr>
      <w:r>
        <w:t xml:space="preserve">    2. Со дня вступления в силу настоящего Закона признать утратившим силу </w:t>
      </w:r>
      <w:hyperlink r:id="rId4" w:anchor="/document/81/24477/" w:history="1">
        <w:r>
          <w:rPr>
            <w:rStyle w:val="a4"/>
          </w:rPr>
          <w:t>Закон Челябинской области от 23 июня 2011 года № 142-ЗО</w:t>
        </w:r>
      </w:hyperlink>
      <w:r>
        <w:t xml:space="preserve"> «О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учреждений, проживающи</w:t>
      </w:r>
      <w:r>
        <w:t>м и работающим в сельской местности, рабочих поселках (поселках городского типа) Челябинской области» (Южноуральская панорама, 2011, 30 июня)</w:t>
      </w:r>
      <w:r>
        <w:t>.</w:t>
      </w:r>
    </w:p>
    <w:p w:rsidR="00000000" w:rsidRDefault="00482E58">
      <w:pPr>
        <w:pStyle w:val="a3"/>
        <w:divId w:val="29041180"/>
      </w:pPr>
      <w:r>
        <w:t>    3. Педагогические работники и педагогические работники, перешедшие на пенсию, имеют право на получение компен</w:t>
      </w:r>
      <w:r>
        <w:t>сации расходов, причитавшейся им до 1 января 2015 года, но не полученной ими</w:t>
      </w:r>
      <w:r>
        <w:t>.</w:t>
      </w:r>
    </w:p>
    <w:p w:rsidR="00000000" w:rsidRDefault="00482E58">
      <w:pPr>
        <w:pStyle w:val="a3"/>
        <w:jc w:val="right"/>
        <w:divId w:val="29041180"/>
      </w:pPr>
      <w:r>
        <w:t>Губернатор</w:t>
      </w:r>
      <w:r>
        <w:br/>
      </w:r>
      <w:r>
        <w:t>Челябинской области</w:t>
      </w:r>
      <w:r>
        <w:br/>
      </w:r>
      <w:r>
        <w:t>Б.А. Дубровски</w:t>
      </w:r>
      <w:r>
        <w:t>й</w:t>
      </w:r>
    </w:p>
    <w:p w:rsidR="00000000" w:rsidRDefault="00482E58">
      <w:pPr>
        <w:pStyle w:val="a3"/>
        <w:divId w:val="29041180"/>
      </w:pPr>
      <w:r>
        <w:t>г. Челябинск</w:t>
      </w:r>
      <w:r>
        <w:br/>
      </w:r>
      <w:r>
        <w:t>25 декабря 2014 года</w:t>
      </w:r>
      <w:r>
        <w:br/>
      </w:r>
      <w:r>
        <w:t>№ 89-З</w:t>
      </w:r>
      <w:r>
        <w:t>О</w:t>
      </w:r>
    </w:p>
    <w:p w:rsidR="00482E58" w:rsidRDefault="00482E58">
      <w:pPr>
        <w:divId w:val="871914857"/>
        <w:rPr>
          <w:rFonts w:eastAsia="Times New Roman"/>
        </w:rPr>
      </w:pPr>
      <w:r>
        <w:rPr>
          <w:rFonts w:eastAsia="Times New Roman"/>
        </w:rPr>
        <w:t>БСС «Система Главбух» 2015</w:t>
      </w:r>
    </w:p>
    <w:sectPr w:rsidR="0048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700FA7"/>
    <w:rsid w:val="00482E58"/>
    <w:rsid w:val="0070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incut-head-control">
    <w:name w:val="incut-head-control"/>
    <w:basedOn w:val="a0"/>
  </w:style>
  <w:style w:type="character" w:customStyle="1" w:styleId="incut-head-control1">
    <w:name w:val="incut-head-control1"/>
    <w:basedOn w:val="a0"/>
    <w:rPr>
      <w:b/>
      <w:bCs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incut-head-control2">
    <w:name w:val="incut-head-control2"/>
    <w:basedOn w:val="a0"/>
    <w:rPr>
      <w:b/>
      <w:bCs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728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18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2015-04-13T05:30:00Z</dcterms:created>
  <dcterms:modified xsi:type="dcterms:W3CDTF">2015-04-13T05:30:00Z</dcterms:modified>
</cp:coreProperties>
</file>